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tl w:val="0"/>
        </w:rPr>
      </w:r>
    </w:p>
    <w:tbl>
      <w:tblPr>
        <w:tblStyle w:val="Table1"/>
        <w:tblpPr w:leftFromText="180" w:rightFromText="180" w:topFromText="180" w:bottomFromText="180" w:vertAnchor="text" w:horzAnchor="text" w:tblpX="-930" w:tblpY="0"/>
        <w:tblW w:w="14895.0" w:type="dxa"/>
        <w:jc w:val="left"/>
        <w:tblInd w:w="-9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0"/>
        <w:gridCol w:w="11505"/>
        <w:tblGridChange w:id="0">
          <w:tblGrid>
            <w:gridCol w:w="3390"/>
            <w:gridCol w:w="11505"/>
          </w:tblGrid>
        </w:tblGridChange>
      </w:tblGrid>
      <w:tr>
        <w:trPr>
          <w:cantSplit w:val="0"/>
          <w:trHeight w:val="60" w:hRule="atLeast"/>
          <w:tblHeader w:val="0"/>
        </w:trPr>
        <w:tc>
          <w:tcPr>
            <w:gridSpan w:val="2"/>
            <w:shd w:fill="003366" w:val="clear"/>
            <w:vAlign w:val="center"/>
          </w:tcPr>
          <w:p w:rsidR="00000000" w:rsidDel="00000000" w:rsidP="00000000" w:rsidRDefault="00000000" w:rsidRPr="00000000" w14:paraId="00000002">
            <w:pPr>
              <w:widowControl w:val="0"/>
              <w:spacing w:after="120" w:before="120" w:line="280" w:lineRule="auto"/>
              <w:jc w:val="center"/>
              <w:rPr>
                <w:rFonts w:ascii="Calibri" w:cs="Calibri" w:eastAsia="Calibri" w:hAnsi="Calibri"/>
                <w:b w:val="1"/>
                <w:bCs w:val="1"/>
                <w:i w:val="1"/>
                <w:iCs w:val="1"/>
                <w:color w:val="ffffff"/>
                <w:sz w:val="30"/>
                <w:szCs w:val="30"/>
              </w:rPr>
            </w:pPr>
            <w:r w:rsidDel="00000000" w:rsidR="00000000" w:rsidRPr="00000000">
              <w:rPr>
                <w:rFonts w:ascii="Calibri" w:cs="Calibri" w:eastAsia="Calibri" w:hAnsi="Calibri"/>
                <w:b w:val="1"/>
                <w:bCs w:val="1"/>
                <w:color w:val="ffffff"/>
                <w:sz w:val="30"/>
                <w:szCs w:val="30"/>
                <w:rtl w:val="0"/>
              </w:rPr>
              <w:t xml:space="preserve">What did “community” look like at the Lucy Simms School?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4">
            <w:pPr>
              <w:widowControl w:val="0"/>
              <w:spacing w:after="60" w:before="60" w:line="240" w:lineRule="auto"/>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C3 Framework Standard</w:t>
            </w:r>
          </w:p>
        </w:tc>
        <w:tc>
          <w:tcPr>
            <w:vAlign w:val="center"/>
          </w:tcPr>
          <w:p w:rsidR="00000000" w:rsidDel="00000000" w:rsidP="00000000" w:rsidRDefault="00000000" w:rsidRPr="00000000" w14:paraId="0000000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D4.2.9-12. Construct explanations using sound reasoning, correct sequence (linear or non-linear), examples, and details with significant and pertinent information and data, while acknowledging the strengths and weaknesses of the explanation given its purpose (e.g., cause and effect, chronological, procedural, technical).</w:t>
            </w:r>
          </w:p>
        </w:tc>
      </w:tr>
    </w:tbl>
    <w:p w:rsidR="00000000" w:rsidDel="00000000" w:rsidP="00000000" w:rsidRDefault="00000000" w:rsidRPr="00000000" w14:paraId="00000006">
      <w:pPr>
        <w:widowControl w:val="0"/>
        <w:spacing w:line="240" w:lineRule="auto"/>
        <w:ind w:left="-810" w:right="-810" w:firstLine="0"/>
        <w:rPr>
          <w:rFonts w:ascii="Calibri" w:cs="Calibri" w:eastAsia="Calibri" w:hAnsi="Calibri"/>
          <w:highlight w:val="white"/>
        </w:rPr>
      </w:pPr>
      <w:r w:rsidDel="00000000" w:rsidR="00000000" w:rsidRPr="00000000">
        <w:rPr>
          <w:rFonts w:ascii="Calibri" w:cs="Calibri" w:eastAsia="Calibri" w:hAnsi="Calibri"/>
          <w:i w:val="1"/>
          <w:iCs w:val="1"/>
          <w:highlight w:val="white"/>
          <w:rtl w:val="0"/>
        </w:rPr>
        <w:t xml:space="preserve">The Lucy F. Simms School brought African American students from the Shenandoah Valley together to educate and empower them. In recollections from community members, as well as from documentary evidence from the time, the people at Simms built a thriving community in the surrounding Newtown neighborhood and surrounding area. While segregation undoubtedly played a part in the development of the community, the Simms School offered a range of athletic and social events to their students. Using oral history interviews conducted by RCPS students and photographs from the Celebrating Simms archive, students will examine the community at Simms. </w:t>
      </w:r>
      <w:r w:rsidDel="00000000" w:rsidR="00000000" w:rsidRPr="00000000">
        <w:rPr>
          <w:rtl w:val="0"/>
        </w:rPr>
      </w:r>
    </w:p>
    <w:tbl>
      <w:tblPr>
        <w:tblStyle w:val="Table2"/>
        <w:tblW w:w="1492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25"/>
        <w:tblGridChange w:id="0">
          <w:tblGrid>
            <w:gridCol w:w="14925"/>
          </w:tblGrid>
        </w:tblGridChange>
      </w:tblGrid>
      <w:tr>
        <w:trPr>
          <w:cantSplit w:val="0"/>
          <w:tblHeader w:val="0"/>
        </w:trPr>
        <w:tc>
          <w:tcPr>
            <w:shd w:fill="205595" w:val="clear"/>
            <w:vAlign w:val="center"/>
          </w:tcPr>
          <w:p w:rsidR="00000000" w:rsidDel="00000000" w:rsidP="00000000" w:rsidRDefault="00000000" w:rsidRPr="00000000" w14:paraId="00000007">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Featured Sources</w:t>
            </w:r>
          </w:p>
        </w:tc>
      </w:tr>
      <w:tr>
        <w:trPr>
          <w:cantSplit w:val="0"/>
          <w:trHeight w:val="525" w:hRule="atLeast"/>
          <w:tblHeader w:val="0"/>
        </w:trPr>
        <w:tc>
          <w:tcPr/>
          <w:p w:rsidR="00000000" w:rsidDel="00000000" w:rsidP="00000000" w:rsidRDefault="00000000" w:rsidRPr="00000000" w14:paraId="00000008">
            <w:pPr>
              <w:spacing w:after="120" w:before="120" w:line="240" w:lineRule="auto"/>
              <w:rPr>
                <w:rFonts w:ascii="Calibri" w:cs="Calibri" w:eastAsia="Calibri" w:hAnsi="Calibri"/>
                <w:b w:val="1"/>
                <w:bCs w:val="1"/>
              </w:rPr>
            </w:pPr>
            <w:hyperlink r:id="rId6">
              <w:r w:rsidDel="00000000" w:rsidR="00000000" w:rsidRPr="00000000">
                <w:rPr>
                  <w:rFonts w:ascii="Calibri" w:cs="Calibri" w:eastAsia="Calibri" w:hAnsi="Calibri"/>
                  <w:b w:val="1"/>
                  <w:bCs w:val="1"/>
                  <w:color w:val="1155cc"/>
                  <w:u w:val="single"/>
                  <w:rtl w:val="0"/>
                </w:rPr>
                <w:t xml:space="preserve">Source A: In-School Activities - Theater and Band</w:t>
              </w:r>
            </w:hyperlink>
            <w:r w:rsidDel="00000000" w:rsidR="00000000" w:rsidRPr="00000000">
              <w:rPr>
                <w:rtl w:val="0"/>
              </w:rPr>
            </w:r>
          </w:p>
          <w:p w:rsidR="00000000" w:rsidDel="00000000" w:rsidP="00000000" w:rsidRDefault="00000000" w:rsidRPr="00000000" w14:paraId="00000009">
            <w:pPr>
              <w:spacing w:after="120" w:before="120" w:line="240" w:lineRule="auto"/>
              <w:rPr>
                <w:rFonts w:ascii="Calibri" w:cs="Calibri" w:eastAsia="Calibri" w:hAnsi="Calibri"/>
                <w:b w:val="1"/>
                <w:bCs w:val="1"/>
              </w:rPr>
            </w:pPr>
            <w:hyperlink r:id="rId7">
              <w:r w:rsidDel="00000000" w:rsidR="00000000" w:rsidRPr="00000000">
                <w:rPr>
                  <w:rFonts w:ascii="Calibri" w:cs="Calibri" w:eastAsia="Calibri" w:hAnsi="Calibri"/>
                  <w:b w:val="1"/>
                  <w:bCs w:val="1"/>
                  <w:color w:val="1155cc"/>
                  <w:u w:val="single"/>
                  <w:rtl w:val="0"/>
                </w:rPr>
                <w:t xml:space="preserve">Source B: Extracurriculars and Community Events - Sports and Dances</w:t>
              </w:r>
            </w:hyperlink>
            <w:r w:rsidDel="00000000" w:rsidR="00000000" w:rsidRPr="00000000">
              <w:rPr>
                <w:rtl w:val="0"/>
              </w:rPr>
            </w:r>
          </w:p>
          <w:p w:rsidR="00000000" w:rsidDel="00000000" w:rsidP="00000000" w:rsidRDefault="00000000" w:rsidRPr="00000000" w14:paraId="0000000A">
            <w:pPr>
              <w:spacing w:after="120" w:before="120" w:line="240" w:lineRule="auto"/>
              <w:rPr>
                <w:rFonts w:ascii="Calibri" w:cs="Calibri" w:eastAsia="Calibri" w:hAnsi="Calibri"/>
                <w:b w:val="1"/>
                <w:bCs w:val="1"/>
              </w:rPr>
            </w:pPr>
            <w:hyperlink r:id="rId8">
              <w:r w:rsidDel="00000000" w:rsidR="00000000" w:rsidRPr="00000000">
                <w:rPr>
                  <w:rFonts w:ascii="Calibri" w:cs="Calibri" w:eastAsia="Calibri" w:hAnsi="Calibri"/>
                  <w:b w:val="1"/>
                  <w:bCs w:val="1"/>
                  <w:color w:val="1155cc"/>
                  <w:u w:val="single"/>
                  <w:rtl w:val="0"/>
                </w:rPr>
                <w:t xml:space="preserve">Source C: May Day</w:t>
              </w:r>
            </w:hyperlink>
            <w:r w:rsidDel="00000000" w:rsidR="00000000" w:rsidRPr="00000000">
              <w:rPr>
                <w:rtl w:val="0"/>
              </w:rPr>
            </w:r>
          </w:p>
        </w:tc>
      </w:tr>
    </w:tbl>
    <w:p w:rsidR="00000000" w:rsidDel="00000000" w:rsidP="00000000" w:rsidRDefault="00000000" w:rsidRPr="00000000" w14:paraId="0000000B">
      <w:pPr>
        <w:widowControl w:val="0"/>
        <w:spacing w:line="240" w:lineRule="auto"/>
        <w:rPr>
          <w:rFonts w:ascii="Calibri" w:cs="Calibri" w:eastAsia="Calibri" w:hAnsi="Calibri"/>
        </w:rPr>
      </w:pPr>
      <w:r w:rsidDel="00000000" w:rsidR="00000000" w:rsidRPr="00000000">
        <w:rPr>
          <w:rtl w:val="0"/>
        </w:rPr>
      </w:r>
    </w:p>
    <w:tbl>
      <w:tblPr>
        <w:tblStyle w:val="Table3"/>
        <w:tblW w:w="14925.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55"/>
        <w:gridCol w:w="270"/>
        <w:gridCol w:w="8100"/>
        <w:tblGridChange w:id="0">
          <w:tblGrid>
            <w:gridCol w:w="6555"/>
            <w:gridCol w:w="270"/>
            <w:gridCol w:w="8100"/>
          </w:tblGrid>
        </w:tblGridChange>
      </w:tblGrid>
      <w:tr>
        <w:trPr>
          <w:cantSplit w:val="0"/>
          <w:tblHeader w:val="0"/>
        </w:trPr>
        <w:tc>
          <w:tcPr>
            <w:shd w:fill="205595" w:val="clear"/>
            <w:vAlign w:val="center"/>
          </w:tcPr>
          <w:p w:rsidR="00000000" w:rsidDel="00000000" w:rsidP="00000000" w:rsidRDefault="00000000" w:rsidRPr="00000000" w14:paraId="0000000C">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Formative Performance Tasks </w:t>
            </w:r>
          </w:p>
        </w:tc>
        <w:tc>
          <w:tcPr>
            <w:tcBorders>
              <w:top w:color="000000" w:space="0" w:sz="0" w:val="nil"/>
              <w:bottom w:color="000000" w:space="0" w:sz="0" w:val="nil"/>
            </w:tcBorders>
            <w:vAlign w:val="center"/>
          </w:tcPr>
          <w:p w:rsidR="00000000" w:rsidDel="00000000" w:rsidP="00000000" w:rsidRDefault="00000000" w:rsidRPr="00000000" w14:paraId="0000000D">
            <w:pPr>
              <w:widowControl w:val="0"/>
              <w:spacing w:after="40" w:before="40" w:line="240" w:lineRule="auto"/>
              <w:jc w:val="center"/>
              <w:rPr>
                <w:rFonts w:ascii="Calibri" w:cs="Calibri" w:eastAsia="Calibri" w:hAnsi="Calibri"/>
                <w:b w:val="1"/>
                <w:bCs w:val="1"/>
                <w:color w:val="ffffff"/>
              </w:rPr>
            </w:pPr>
            <w:r w:rsidDel="00000000" w:rsidR="00000000" w:rsidRPr="00000000">
              <w:rPr>
                <w:rtl w:val="0"/>
              </w:rPr>
            </w:r>
          </w:p>
        </w:tc>
        <w:tc>
          <w:tcPr>
            <w:shd w:fill="205595" w:val="clear"/>
            <w:vAlign w:val="center"/>
          </w:tcPr>
          <w:p w:rsidR="00000000" w:rsidDel="00000000" w:rsidP="00000000" w:rsidRDefault="00000000" w:rsidRPr="00000000" w14:paraId="0000000E">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Teacher Guidance</w:t>
            </w:r>
          </w:p>
        </w:tc>
      </w:tr>
      <w:tr>
        <w:trPr>
          <w:cantSplit w:val="0"/>
          <w:trHeight w:val="620" w:hRule="atLeast"/>
          <w:tblHeader w:val="0"/>
        </w:trPr>
        <w:tc>
          <w:tcPr/>
          <w:p w:rsidR="00000000" w:rsidDel="00000000" w:rsidP="00000000" w:rsidRDefault="00000000" w:rsidRPr="00000000" w14:paraId="0000000F">
            <w:pPr>
              <w:keepLines w:val="1"/>
              <w:numPr>
                <w:ilvl w:val="0"/>
                <w:numId w:val="1"/>
              </w:numPr>
              <w:tabs>
                <w:tab w:val="left" w:leader="none" w:pos="891"/>
              </w:tabs>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COLLABORATE: Through source analysis, students will examine the sources and complete the organizers together. </w:t>
            </w:r>
          </w:p>
          <w:p w:rsidR="00000000" w:rsidDel="00000000" w:rsidP="00000000" w:rsidRDefault="00000000" w:rsidRPr="00000000" w14:paraId="00000010">
            <w:pPr>
              <w:keepLines w:val="1"/>
              <w:tabs>
                <w:tab w:val="left" w:leader="none" w:pos="891"/>
              </w:tabs>
              <w:spacing w:after="0" w:before="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1">
            <w:pPr>
              <w:keepLines w:val="1"/>
              <w:numPr>
                <w:ilvl w:val="0"/>
                <w:numId w:val="1"/>
              </w:numPr>
              <w:tabs>
                <w:tab w:val="left" w:leader="none" w:pos="891"/>
              </w:tabs>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PRODUCE: Using the Celebrating Simms site, students should locate and identify three more pieces of evidence that show some aspect of the community at Simms. </w:t>
            </w:r>
          </w:p>
          <w:p w:rsidR="00000000" w:rsidDel="00000000" w:rsidP="00000000" w:rsidRDefault="00000000" w:rsidRPr="00000000" w14:paraId="00000012">
            <w:pPr>
              <w:keepLines w:val="1"/>
              <w:tabs>
                <w:tab w:val="left" w:leader="none" w:pos="891"/>
              </w:tabs>
              <w:spacing w:after="0" w:before="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keepLines w:val="1"/>
              <w:numPr>
                <w:ilvl w:val="0"/>
                <w:numId w:val="1"/>
              </w:numPr>
              <w:tabs>
                <w:tab w:val="left" w:leader="none" w:pos="891"/>
              </w:tabs>
              <w:spacing w:after="12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DELIBERATE: Students will identify the positive aspects of the community, but will also discuss the effects segregation may have had in denying community members the same opportunities and advancements. </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4">
            <w:pPr>
              <w:spacing w:after="120" w:before="12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Students start by drawing a picture of what their own personal community looks like. This will initiate a discussion about community and the various aspects that make up a community. Students will then apply some of those pre-conceived ideas into what makes up a school community and, more specifically, how the people at the Lucy Simms School formed their community. </w:t>
            </w:r>
          </w:p>
          <w:p w:rsidR="00000000" w:rsidDel="00000000" w:rsidP="00000000" w:rsidRDefault="00000000" w:rsidRPr="00000000" w14:paraId="00000016">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From there, students should view each set of </w:t>
            </w:r>
            <w:r w:rsidDel="00000000" w:rsidR="00000000" w:rsidRPr="00000000">
              <w:rPr>
                <w:rFonts w:ascii="Calibri" w:cs="Calibri" w:eastAsia="Calibri" w:hAnsi="Calibri"/>
                <w:rtl w:val="0"/>
              </w:rPr>
              <w:t xml:space="preserve">sources</w:t>
            </w:r>
            <w:r w:rsidDel="00000000" w:rsidR="00000000" w:rsidRPr="00000000">
              <w:rPr>
                <w:rFonts w:ascii="Calibri" w:cs="Calibri" w:eastAsia="Calibri" w:hAnsi="Calibri"/>
                <w:rtl w:val="0"/>
              </w:rPr>
              <w:t xml:space="preserve"> and answer the questions </w:t>
            </w:r>
            <w:hyperlink r:id="rId9">
              <w:r w:rsidDel="00000000" w:rsidR="00000000" w:rsidRPr="00000000">
                <w:rPr>
                  <w:rFonts w:ascii="Calibri" w:cs="Calibri" w:eastAsia="Calibri" w:hAnsi="Calibri"/>
                  <w:color w:val="1155cc"/>
                  <w:u w:val="single"/>
                  <w:rtl w:val="0"/>
                </w:rPr>
                <w:t xml:space="preserve">on the </w:t>
              </w:r>
            </w:hyperlink>
            <w:hyperlink r:id="rId10">
              <w:r w:rsidDel="00000000" w:rsidR="00000000" w:rsidRPr="00000000">
                <w:rPr>
                  <w:rFonts w:ascii="Calibri" w:cs="Calibri" w:eastAsia="Calibri" w:hAnsi="Calibri"/>
                  <w:color w:val="1155cc"/>
                  <w:u w:val="single"/>
                  <w:rtl w:val="0"/>
                </w:rPr>
                <w:t xml:space="preserve">organizer</w:t>
              </w:r>
            </w:hyperlink>
            <w:r w:rsidDel="00000000" w:rsidR="00000000" w:rsidRPr="00000000">
              <w:rPr>
                <w:rFonts w:ascii="Calibri" w:cs="Calibri" w:eastAsia="Calibri" w:hAnsi="Calibri"/>
                <w:rtl w:val="0"/>
              </w:rPr>
              <w:t xml:space="preserve">. This can be done in a jigsaw format or with students going through each source set. It is also recommended, whenever possible, that teachers and students listen to the oral history excerpts to hear the narrators describe their community. </w:t>
            </w:r>
          </w:p>
          <w:p w:rsidR="00000000" w:rsidDel="00000000" w:rsidP="00000000" w:rsidRDefault="00000000" w:rsidRPr="00000000" w14:paraId="00000017">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After reviewing the sources and checking for comprehension, students should locate and identify three additional pieces of evidence that depict an aspect of the Simms school community by utilizing the archive of resources from the Celebrating Simms site, both in pictures and oral history interviews. These can be shared and examples presented to the class from small groups or between small groups in whatever format the teacher thinks is appropriate. Finally, students should compose a short narrative that describes the community at the Simms school. </w:t>
            </w:r>
          </w:p>
        </w:tc>
      </w:tr>
    </w:tbl>
    <w:p w:rsidR="00000000" w:rsidDel="00000000" w:rsidP="00000000" w:rsidRDefault="00000000" w:rsidRPr="00000000" w14:paraId="00000018">
      <w:pPr>
        <w:rPr/>
      </w:pPr>
      <w:r w:rsidDel="00000000" w:rsidR="00000000" w:rsidRPr="00000000">
        <w:rPr>
          <w:rtl w:val="0"/>
        </w:rPr>
      </w:r>
    </w:p>
    <w:sectPr>
      <w:headerReference r:id="rId11" w:type="default"/>
      <w:pgSz w:h="12240" w:w="15840" w:orient="landscape"/>
      <w:pgMar w:bottom="720" w:top="72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cs.google.com/document/d/1DiX4oR9nuVH0mmADLNARKlFvL1k7FVoaMXiLgGKU5b4/edit?usp=sharing" TargetMode="External"/><Relationship Id="rId9" Type="http://schemas.openxmlformats.org/officeDocument/2006/relationships/hyperlink" Target="https://docs.google.com/document/d/1DiX4oR9nuVH0mmADLNARKlFvL1k7FVoaMXiLgGKU5b4/edit?usp=sharing" TargetMode="External"/><Relationship Id="rId5" Type="http://schemas.openxmlformats.org/officeDocument/2006/relationships/styles" Target="styles.xml"/><Relationship Id="rId6" Type="http://schemas.openxmlformats.org/officeDocument/2006/relationships/hyperlink" Target="https://docs.google.com/document/d/1Lu1HN68BP5YTGzE7ubHU1_PYb-sn6EyNEg4sm-weqRg/edit?usp=sharing" TargetMode="External"/><Relationship Id="rId7" Type="http://schemas.openxmlformats.org/officeDocument/2006/relationships/hyperlink" Target="https://docs.google.com/document/d/1INcm533YkhDUAUHMsabfrVpoOaNMPRjL4HKFUcuQeHg/edit?usp=sharing" TargetMode="External"/><Relationship Id="rId8" Type="http://schemas.openxmlformats.org/officeDocument/2006/relationships/hyperlink" Target="https://docs.google.com/document/d/1N6NQIxM0RM_hOVCd49MqIeuwIOuJuAtWfDM0vfYJztI/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